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CA0" w:rsidRPr="009D1CA0" w:rsidRDefault="009D1CA0" w:rsidP="009D1CA0">
      <w:pPr>
        <w:pStyle w:val="11"/>
      </w:pPr>
      <w:bookmarkStart w:id="0" w:name="_Toc68004973"/>
      <w:r w:rsidRPr="009D1CA0">
        <w:t>Медицина будущего</w:t>
      </w:r>
      <w:bookmarkEnd w:id="0"/>
    </w:p>
    <w:p w:rsidR="009D1CA0" w:rsidRPr="009D1CA0" w:rsidRDefault="009D1CA0" w:rsidP="009D1CA0">
      <w:pPr>
        <w:pStyle w:val="11"/>
      </w:pPr>
    </w:p>
    <w:p w:rsidR="009D1CA0" w:rsidRPr="009D1CA0" w:rsidRDefault="009D1CA0" w:rsidP="009D1CA0">
      <w:pPr>
        <w:pStyle w:val="11"/>
      </w:pPr>
    </w:p>
    <w:p w:rsidR="009D1CA0" w:rsidRPr="009D1CA0" w:rsidRDefault="009D1CA0" w:rsidP="009D1CA0">
      <w:pPr>
        <w:pStyle w:val="11"/>
      </w:pPr>
    </w:p>
    <w:p w:rsidR="009D1CA0" w:rsidRPr="009D1CA0" w:rsidRDefault="009D1CA0" w:rsidP="009D1CA0">
      <w:pPr>
        <w:pStyle w:val="11"/>
      </w:pPr>
    </w:p>
    <w:p w:rsidR="009D1CA0" w:rsidRPr="009D1CA0" w:rsidRDefault="00A23656" w:rsidP="009D1CA0">
      <w:pPr>
        <w:pStyle w:val="11"/>
        <w:rPr>
          <w:rFonts w:eastAsiaTheme="minorEastAsia"/>
          <w:noProof/>
          <w:lang w:eastAsia="ru-RU"/>
        </w:rPr>
      </w:pPr>
      <w:r w:rsidRPr="009D1CA0">
        <w:fldChar w:fldCharType="begin"/>
      </w:r>
      <w:r w:rsidRPr="009D1CA0">
        <w:instrText xml:space="preserve"> TOC \h \z \t "_Глава;1" </w:instrText>
      </w:r>
      <w:r w:rsidRPr="009D1CA0">
        <w:fldChar w:fldCharType="separate"/>
      </w:r>
    </w:p>
    <w:sdt>
      <w:sdtPr>
        <w:id w:val="29140993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9D1CA0" w:rsidRDefault="009D1CA0">
          <w:pPr>
            <w:pStyle w:val="ad"/>
          </w:pPr>
          <w:r>
            <w:t>Оглавление</w:t>
          </w:r>
        </w:p>
        <w:p w:rsidR="009D1CA0" w:rsidRDefault="009D1CA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004973" w:history="1">
            <w:r w:rsidRPr="00312B5D">
              <w:rPr>
                <w:rStyle w:val="a3"/>
                <w:noProof/>
              </w:rPr>
              <w:t>Медицина будущего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_Toc68004973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CA0" w:rsidRDefault="009D1CA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68004974" w:history="1">
            <w:r w:rsidRPr="00312B5D">
              <w:rPr>
                <w:rStyle w:val="a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_Toc68004974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CA0" w:rsidRDefault="009D1CA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68004975" w:history="1">
            <w:r w:rsidRPr="00312B5D">
              <w:rPr>
                <w:rStyle w:val="a3"/>
                <w:noProof/>
              </w:rPr>
              <w:t>1.Создание «умной» диагностики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_Toc68004975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CA0" w:rsidRDefault="009D1CA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68004976" w:history="1">
            <w:r w:rsidRPr="00312B5D">
              <w:rPr>
                <w:rStyle w:val="a3"/>
                <w:noProof/>
              </w:rPr>
              <w:t>2. Создание «Комплементарного» лекарства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_Toc68004976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CA0" w:rsidRDefault="009D1CA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68004977" w:history="1">
            <w:r w:rsidRPr="00312B5D">
              <w:rPr>
                <w:rStyle w:val="a3"/>
                <w:noProof/>
              </w:rPr>
              <w:t>3. Использование микробиома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_Toc68004977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CA0" w:rsidRDefault="009D1CA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68004978" w:history="1">
            <w:r w:rsidRPr="00312B5D">
              <w:rPr>
                <w:rStyle w:val="a3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_Toc68004978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CA0" w:rsidRDefault="009D1CA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68004979" w:history="1">
            <w:r w:rsidRPr="00312B5D">
              <w:rPr>
                <w:rStyle w:val="a3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_Toc68004979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CA0" w:rsidRDefault="009D1CA0">
          <w:r>
            <w:rPr>
              <w:b/>
              <w:bCs/>
            </w:rPr>
            <w:fldChar w:fldCharType="end"/>
          </w:r>
        </w:p>
      </w:sdtContent>
    </w:sdt>
    <w:p w:rsidR="00A23656" w:rsidRPr="009D1CA0" w:rsidRDefault="00A23656" w:rsidP="009D1CA0">
      <w:pPr>
        <w:pStyle w:val="11"/>
        <w:rPr>
          <w:rFonts w:eastAsiaTheme="minorEastAsia"/>
          <w:noProof/>
          <w:lang w:eastAsia="ru-RU"/>
        </w:rPr>
      </w:pPr>
    </w:p>
    <w:p w:rsidR="00293712" w:rsidRPr="009D1CA0" w:rsidRDefault="00A23656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fldChar w:fldCharType="end"/>
      </w:r>
      <w:r w:rsidR="00293712" w:rsidRPr="009D1CA0">
        <w:rPr>
          <w:rFonts w:ascii="Times New Roman" w:hAnsi="Times New Roman" w:cs="Times New Roman"/>
          <w:sz w:val="28"/>
          <w:szCs w:val="28"/>
        </w:rPr>
        <w:br w:type="page"/>
      </w:r>
    </w:p>
    <w:p w:rsidR="00A071B3" w:rsidRPr="009D1CA0" w:rsidRDefault="009A557C" w:rsidP="009D1CA0">
      <w:pPr>
        <w:pStyle w:val="11"/>
      </w:pPr>
      <w:bookmarkStart w:id="1" w:name="_Toc510078181"/>
      <w:bookmarkStart w:id="2" w:name="_Toc68004974"/>
      <w:r w:rsidRPr="009D1CA0">
        <w:lastRenderedPageBreak/>
        <w:t>Введение</w:t>
      </w:r>
      <w:bookmarkEnd w:id="1"/>
      <w:bookmarkEnd w:id="2"/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Стремительное развитие биологической науки, обусловленное появлением высокопроизводительных приборов и созданием методов манипулирования информационными биополимерами и клетками, подготовило фундамент для развития медицины будущего. В результате исследований последних лет были разработаны эффективные диагностические методы, появились возможности для рационального конструирования противовирусных, противобактериальных и противоопухолевых препаратов, средств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генотерапии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и геномного редактирования. Современные биомедицинские технологии все в большей степени начинают влиять на экономику и определять качество жизни людей.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К настоящему времени детально исследованы строение и функции основных биологических молекул и разработаны методы синтеза белков и нуклеиновых кислот. Эти биополимеры по своей природе являются «интеллектуальными» материалами, так как способны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высокоспецифично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«узнавать» и воздействовать на определенные биологические мишени. Путем направленного «программирования» таких макромолекул можно создавать рецепторные молекулярные конструкции для аналитических систем, а также лекарственные препараты, избирательно воздействующие на конкретные генетические программы или белки.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«Интеллектуальные препараты», созданные методами синтетической биологии, открывают возможности для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таргетной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 (целенаправленной) терап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>тоиммунных, онкологических, наследственных и инфекционных заболеваний. Это дает основание говорить о внедрении в медицинскую практику подходов персонализированной медицины, ориентированной на лечение конкретного человека.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br w:type="page"/>
      </w:r>
    </w:p>
    <w:p w:rsidR="009A557C" w:rsidRPr="009D1CA0" w:rsidRDefault="009A557C" w:rsidP="009D1CA0">
      <w:pPr>
        <w:pStyle w:val="11"/>
      </w:pPr>
      <w:bookmarkStart w:id="3" w:name="_Toc510078182"/>
      <w:bookmarkStart w:id="4" w:name="_Toc68004975"/>
      <w:r w:rsidRPr="009D1CA0">
        <w:lastRenderedPageBreak/>
        <w:t>1.Создание «умной» диагностики</w:t>
      </w:r>
      <w:bookmarkEnd w:id="3"/>
      <w:bookmarkEnd w:id="4"/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57C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Д</w:t>
      </w:r>
      <w:r w:rsidR="009A557C" w:rsidRPr="009D1CA0">
        <w:rPr>
          <w:rFonts w:ascii="Times New Roman" w:hAnsi="Times New Roman" w:cs="Times New Roman"/>
          <w:sz w:val="28"/>
          <w:szCs w:val="28"/>
        </w:rPr>
        <w:t>ля управления здоровьем необходимо иметь эффективные и простые малоинвазивные методы ранней диагностики заболеваний и определения индивидуальной чувствительности к терапевтическим препаратам, а также факторам внешней среды. Например, должны быть решены (и уже решаются) такие задачи, как создание систем для генной диагностики и выявления возбудителей инфекционных заболеваний человека, разработка методов количественного определения белков и нуклеиновых кислот – ​маркеров заболеваний.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Во время развития онкологических заболеваний клетки подвергаются эпигенетическим модификациям, таким как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метилирование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ДНК. Это приводит к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инактивации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генов-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супрессоров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опухолевого роста, а характер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метилирования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некоторых генов может служить одним из диагностических опухолевых маркеров (Павлов и др., 2011). На графике – степень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метилирования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нуклеотида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цитозина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промоторной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области гена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глутатион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трансферазы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P1 (GSTP1). Этот показатель заметно различается у здоровых мужчин и больных раком предстательной железы</w:t>
      </w: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78C43" wp14:editId="226C9A58">
            <wp:extent cx="4286250" cy="2590800"/>
            <wp:effectExtent l="0" t="0" r="0" b="0"/>
            <wp:docPr id="14" name="Рисунок 14" descr="Во время развития онкологических заболеваний клетки подвергаются эпигенетическим модификациям, таким как метилирование ДНК. Это приводит к инактивации генов-супрессоров опухолевого роста, а характер метилирования некоторых генов может служить одним из диагностических опухолевых маркеров (Павлов и др., 2011). На графике – степень метилирования нуклеотида цитозина в промоторной области гена глутатион-S-трансферазы P1 (GSTP1). Этот показатель заметно различается у здоровых мужчин и больных раком предстательной жел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 время развития онкологических заболеваний клетки подвергаются эпигенетическим модификациям, таким как метилирование ДНК. Это приводит к инактивации генов-супрессоров опухолевого роста, а характер метилирования некоторых генов может служить одним из диагностических опухолевых маркеров (Павлов и др., 2011). На графике – степень метилирования нуклеотида цитозина в промоторной области гена глутатион-S-трансферазы P1 (GSTP1). Этот показатель заметно различается у здоровых мужчин и больных раком предстательной желез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Отдельно стоит выделить создание методов ранней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неинвазивной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диагностики (жидкостная биопсия) опухолевых заболеваний, основанных на анализе внеклеточной ДНК и РНК. Источником таких нуклеиновых кислот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>служат как погибшие, так и живые клетки. В норме их концентрация относительно низка, но обычно возрастает при стрессе и развитии патологических процессов. При возникновении злокачественной опухоли в кровоток попадают нуклеиновые кислоты, выделяемые раковыми клетками, и такие характерные циркулирующие РНК и ДНК могут служить маркерами заболевания.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Сейчас на основе подобных маркеров разрабатываются подходы к ранней диагностике рака, методы прогнозирования риска его развития, а также оценки степени тяжести течения болезни и эффективности терапии. Например, в Институте химической биологии и фундаментальной медицины СО РАН было показано, что при раке предстательной железы повышается степень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метилированияопределенных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участков ДНК. Был разработан метод, позволяющий выделить из образцов крови циркулирующую ДНК и проанализировать характер ее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метилирования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. Этот способ может стать основой точной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неинвазивной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диагностики рака простаты, которой на сегодня не существует.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9D7B2" wp14:editId="668491D7">
            <wp:extent cx="5850000" cy="4039200"/>
            <wp:effectExtent l="0" t="0" r="0" b="0"/>
            <wp:docPr id="3" name="Рисунок 3" descr="В ИХБФМ СО РАН методом высокопроизводительного параллельного секвенирования на платформе SOLiD проанализировано разнообразие малых некодирующих РНК в плазме крови у здоровых людей и больных немелкоклеточным раком легкого. Удалось охарактеризовать изменения внеклеточного транскриптома (совокупности всех молекул РНК, синтезирующихся в организме человека при образовании злокачественных опухолей). На диаграмме отражены уровни экспрессии микроРНК в образцах, полученных от здоровых доноров и пациентов с плоскоклеточной карциномой. Анализ этой информации позволил установить значимые различия в уровнях экспрессии 18 микроРНК у здоровых и больных людей, что может иметь потенциальную диагностическую ценность (Ponomaryova, Morozkin et al., 20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ИХБФМ СО РАН методом высокопроизводительного параллельного секвенирования на платформе SOLiD проанализировано разнообразие малых некодирующих РНК в плазме крови у здоровых людей и больных немелкоклеточным раком легкого. Удалось охарактеризовать изменения внеклеточного транскриптома (совокупности всех молекул РНК, синтезирующихся в организме человека при образовании злокачественных опухолей). На диаграмме отражены уровни экспрессии микроРНК в образцах, полученных от здоровых доноров и пациентов с плоскоклеточной карциномой. Анализ этой информации позволил установить значимые различия в уровнях экспрессии 18 микроРНК у здоровых и больных людей, что может иметь потенциальную диагностическую ценность (Ponomaryova, Morozkin et al., 2016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4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lastRenderedPageBreak/>
        <w:t xml:space="preserve">В ИХБФМ СО РАН методом высокопроизводительного параллельного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секвенирования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проанализировано разнообразие малых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некодирующих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РНК в плазме крови у здоровых людей и больных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немелкоклеточным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раком легкого. Удалось охарактеризовать изменения внеклеточного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транскриптома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(совокупности всех молекул РНК, синтезирующихся в организме человека при образовании злокачественных опухолей). На диаграмме отражены уровни экспрессии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в образцах, полученных от здоровых доноров и пациентов с плоскоклеточной карциномой. Анализ этой информации позволил установить значимые различия в уровнях экспрессии 18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у здоровых и больных людей, что может иметь потенциальную диагностическую ценность (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Ponomaryova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Morozkin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., 2016)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Важным источником информации о состоянии здоровья могут служить так называемые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некодирующие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РНК, т. е. те РНК, которые не являются матрицей для синтеза белков. За последние годы было установлено, что в клетках образуется множество различных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некодирующих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РНК, участвующих в регуляции самых разных процессов на уровне клеток и целого организма.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Изучение спектра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и длинных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некодирующих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РНК при различных состояниях открывает широкие возможности для быстрой и эффективной диагностики.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В Институте молекулярной и клеточной биологии СО РАН (ИМКБ СО РАН, Новосибирск) и ИХБФМ СО РАН идентифицирован ряд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 – ​перспективных маркеров опухолевых заболеваний.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Современные технологии с применением биологических микрочипов позволяют быстро и эффективно идентифицировать возбудителей ряда болезней (туберкулеза, СПИДа, гепатитов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и С, сибирской язвы, инфекций новорожденных), фиксировать наличие определенных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биотоксинов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определять хромосомные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транслокации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при лейкозах, регистрировать белковые маркеры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онкозаболеваний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определять генетическую предрасположенность к болезням и индивидуальную чувствительность к некоторым типам терапии. Технологии также можно использовать для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>генетической идентификации личности при проведении судебно-генетических экспертиз и формирования баз данных ДНК. </w:t>
      </w:r>
      <w:r w:rsidRPr="009D1CA0">
        <w:rPr>
          <w:rFonts w:ascii="Times New Roman" w:hAnsi="Times New Roman" w:cs="Times New Roman"/>
          <w:sz w:val="28"/>
          <w:szCs w:val="28"/>
        </w:rPr>
        <w:br/>
        <w:t xml:space="preserve">ИХБФМ СО РАН участвовал в реализации двух крупных международных проектов по разработке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олигонуклеотидных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микрочипов,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финансировавшихся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американской Программой сотрудничества в области биотехнологий Департамента здравоохранения США (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Biotechnology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Engagement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US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Department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Human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Services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BTEP/DHHS). В рамках первого проекта с участием специалистов ИМБ им. В. А. Энгельгардта созданы микрочипы, позволяющие точно идентифицировать различные штаммы вирусов оспы и герпеса. Были разработаны два варианта конструкции микрочипов (на стеклянной подложке и с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гелевыми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спотами), а также портативный флуоресцентный детектор для их анализа. В рамках второго проекта был создан универсальный микрочип для типирования вируса гриппа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>, позволяющий достоверно различать 30 подтипов этого вируса на основе определения двух поверхностных белков вируса – ​гемагглютинина и нейраминидазы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С помощью современных технологий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секвенирования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РНК и ДНК может быть создана платформа для диагностики и прогноза онкологических заболеваний человека на основе анализа содержания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генотипирования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т. е. установления конкретных генетических вариантов того или иного гена, а также для определения профилей экспрессии (активности) генов. Такой подход предполагает возможность быстрого и одновременного проведения множества анализов с помощью современных устройств – ​биологических микрочипов.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BDE91" wp14:editId="3BF62503">
            <wp:extent cx="4476750" cy="1752600"/>
            <wp:effectExtent l="0" t="0" r="0" b="0"/>
            <wp:docPr id="4" name="Рисунок 4" descr="Гелевый биочип для определения генотипа и подтипа вируса гепатита С, созданный в ИМБ РАН (Москва). Фото из архива лаборатории биологических микрочипов ИМБ 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левый биочип для определения генотипа и подтипа вируса гепатита С, созданный в ИМБ РАН (Москва). Фото из архива лаборатории биологических микрочипов ИМБ Р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1CA0">
        <w:rPr>
          <w:rFonts w:ascii="Times New Roman" w:hAnsi="Times New Roman" w:cs="Times New Roman"/>
          <w:sz w:val="28"/>
          <w:szCs w:val="28"/>
        </w:rPr>
        <w:lastRenderedPageBreak/>
        <w:t>Гелевый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биочип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для определения генотипа и подтипа вируса гепатита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>, созданный в ИМБ РАН (Москва). Фото из архива лаборатории биологических микрочипов ИМБ РАН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Биочипы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представляют собой миниатюрные приборы для параллельного анализа специфических биологических макромолекул.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Идея создания подобных устройств родилась в Институте молекулярной биологии им. В. А. Энгельгардта Российской академии наук (Москва) еще в конце 1980-х гг. За короткое время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биочиповые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технологии выделились в самостоятельную область анализа с огромным спектром практических приложений, от исследования фундаментальных проблем молекулярной биологии и молекулярной эволюции до выявления лекарственно устойчивых штаммов бактерий.</w:t>
      </w:r>
      <w:proofErr w:type="gramEnd"/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Сегодня в ИМБ РАН производятся и используются в медицинской практике оригинальные тест-системы для идентификации возбудителей ряда социально значимых инфекций, в том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таких как туберкулез, с одновременным выявлением их резистентности к антимикробным препаратам; тест-системы для оценки индивидуальной переносимости препаратов группы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цитостатиков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Мировой лидер «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биочипостроения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» – ​американская компания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Affymetrix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Inc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. – ​производит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биочипы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с высокой плотностью молекулярных зондов, основываясь на фотолитографических технологиях, использующихся для получения полупроводниковых микросхем. На одном таком чипе на площади менее 2 см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 могут располагаться миллионы точек-спотов размером в несколько микрон. Каждая подобная точка содержит несколько миллионов одинаковых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ковалентно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связанных с поверхностью микрочипа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биоаналитических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диагностических методов требует постоянного повышения чувствительности – ​способности давать достоверный сигнал при регистрации малых количеств детектируемого вещества. Биосенсоры – ​это новое поколение устройств, позволяющих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>специфично анализировать содержание различных маркеров заболеваний в образцах сложного состава, что особенно важно при диагностике заболеваний.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ИХБФМ СО РАН в сотрудничестве с новосибирским Институтом физики полупроводников СО РАН разрабатывает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микробиосенсоры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на основе полевых транзисторов, являющихся одними из самых чувствительных аналитических устройств.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биосенсор позволяет в реальном времени отслеживать взаимодействие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биомолекул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. Его составной частью является одна из таких взаимодействующих молекул, которая играет роль молекулярного зонда. Зонд захватывает из анализируемого раствора молекулярную мишень, по наличию которой можно судить о конкретных характеристиках здоровья пациента.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249" w:rsidRDefault="001A2249">
      <w:pPr>
        <w:rPr>
          <w:rFonts w:ascii="Times New Roman" w:hAnsi="Times New Roman" w:cs="Times New Roman"/>
          <w:b/>
          <w:sz w:val="32"/>
          <w:szCs w:val="32"/>
        </w:rPr>
      </w:pPr>
      <w:bookmarkStart w:id="5" w:name="_Toc510078183"/>
      <w:bookmarkStart w:id="6" w:name="_Toc68004976"/>
      <w:r>
        <w:br w:type="page"/>
      </w:r>
    </w:p>
    <w:p w:rsidR="009A557C" w:rsidRPr="009D1CA0" w:rsidRDefault="00293712" w:rsidP="009D1CA0">
      <w:pPr>
        <w:pStyle w:val="11"/>
      </w:pPr>
      <w:bookmarkStart w:id="7" w:name="_GoBack"/>
      <w:bookmarkEnd w:id="7"/>
      <w:r w:rsidRPr="009D1CA0">
        <w:lastRenderedPageBreak/>
        <w:t xml:space="preserve">2. Создание </w:t>
      </w:r>
      <w:r w:rsidR="009A557C" w:rsidRPr="009D1CA0">
        <w:t>«Комплементарно</w:t>
      </w:r>
      <w:r w:rsidRPr="009D1CA0">
        <w:t>го</w:t>
      </w:r>
      <w:r w:rsidR="009A557C" w:rsidRPr="009D1CA0">
        <w:t>» лекарств</w:t>
      </w:r>
      <w:r w:rsidRPr="009D1CA0">
        <w:t>а</w:t>
      </w:r>
      <w:bookmarkEnd w:id="5"/>
      <w:bookmarkEnd w:id="6"/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Расшифровка геномов человека и возбудителей различных инфекций открыла дорогу для разработки радикальных подходов к терапии болезней путем направленного воздействия на их первопричину – ​генетические программы, ответственные за развитие патологических процессов. Глубокое понимание механизма возникновения заболевания, в который вовлечены нуклеиновые кислоты, дает возможность сконструировать терапевтические нуклеиновые кислоты, восполняющие утраченную функцию либо блокирующие возникшую патологию.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6B0BD" wp14:editId="4EE73BE5">
            <wp:extent cx="5068800" cy="2116800"/>
            <wp:effectExtent l="0" t="0" r="0" b="0"/>
            <wp:docPr id="5" name="Рисунок 5" descr="В качестве терапевтических олигонуклеотидов наиболее широко применяются их аналоги с различными модификациями рибозофосфатного скелета, которые регулируют специфичность формирования комплементарных комплексов с целевой ДНК и повышают устойчивость олигонуклеотидов, не увеличивая токсичность. По: (Власов и др., 2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качестве терапевтических олигонуклеотидов наиболее широко применяются их аналоги с различными модификациями рибозофосфатного скелета, которые регулируют специфичность формирования комплементарных комплексов с целевой ДНК и повышают устойчивость олигонуклеотидов, не увеличивая токсичность. По: (Власов и др., 2014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В качестве терапевтических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наиболее широко применяются их аналоги с различными модификациями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рибозофосфатного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скелета, которые регулируют специфичность формирования комплементарных комплексов с целевой ДНК и повышают устойчивость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не увеличивая токсичность. По: (Власов и др., 2014)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Двуцепочечные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молекулы нуклеиновых кислот, ДНК и РНК, формируются благодаря взаимодействию пар нуклеотидов, способных к взаимному узнаванию и образованию комплексов за счет формирования водородных связей. Это свойство называется «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комплементарностью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»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Такое воздействие может быть осуществлено с помощью фрагментов нуклеиновых кислот – ​синтетических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способных избирательно взаимодействовать с определенными нуклеотидными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>последовательностями в составе генов-мишеней по принципу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комплементарности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. Сама идея использовать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для направленного воздействия на гены была впервые выдвинута в лаборатории природных полимеров (впоследствии – ​отдел биохимии) Новосибирского института биоорганической химии СО РАН (ныне – ​Институт химической биологии и фундаментальной медицины СО РАН).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В Новосибирске были созданы и первые препараты ген-направленного действия для избирательной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инактивации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вирусных и некоторых клеточных РНК.</w:t>
      </w:r>
      <w:proofErr w:type="gramEnd"/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Подобные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ген-направленные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терапевтические препараты сегодня активно разрабатываются на основе нуклеиновых кислот, их аналогов 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конъюгатов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антисмысловых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интерферирующих РНК,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аптамеров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систем геномного редактирования). Исследования последних лет показали, что на основе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антисмысловых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 можно получить широкий спектр биологически активных веществ, действующих на различные генетические структуры и запускающих процессы, приводящие к временному «выключению» генов либо изменению генетических программ – ​появлению мутаций. Было доказано, что с помощью подобных соединений можно подавить функционирование определенных матричных РНК живой клетки, воздействуя на синтез белков, а также защитить клетки от вирусной инфекции.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F195FD" wp14:editId="2A13BD90">
            <wp:extent cx="5025600" cy="4107600"/>
            <wp:effectExtent l="0" t="0" r="3810" b="7620"/>
            <wp:docPr id="6" name="Рисунок 6" descr="Регулировать экспрессию генов с помощью антисмысловых олигонуклеотидов можно на разных уровнях, начиная с процесса «транскрипции» – считывания генетической информации с ДНК на РНК, который происходит в ядре клетки и включает в себя стадию созревания РНК, в результате чего образуется пул молекул РНК с разными функциями (транспортная тРНК, переносящая аминокислоты; рибосомальная рРНК, входящая в состав рибосом; и т. д.), заканчивая процессом «трансляции» – синтезом белка на матричной РНК (мРНК), который происходит в цитоплазме на рибосомах. Все терапевтические олигонуклеотиды традиционно принято подразделять на «ген-направленные» – их мишенью является геномная ДНК и на собственно «антисмысловые» – их мишенью являются РНК. Отдельно выделяют группу олигонуклеотидов, работащих по механизму РНК-интреференции. По: (Власов и др., 2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гулировать экспрессию генов с помощью антисмысловых олигонуклеотидов можно на разных уровнях, начиная с процесса «транскрипции» – считывания генетической информации с ДНК на РНК, который происходит в ядре клетки и включает в себя стадию созревания РНК, в результате чего образуется пул молекул РНК с разными функциями (транспортная тРНК, переносящая аминокислоты; рибосомальная рРНК, входящая в состав рибосом; и т. д.), заканчивая процессом «трансляции» – синтезом белка на матричной РНК (мРНК), который происходит в цитоплазме на рибосомах. Все терапевтические олигонуклеотиды традиционно принято подразделять на «ген-направленные» – их мишенью является геномная ДНК и на собственно «антисмысловые» – их мишенью являются РНК. Отдельно выделяют группу олигонуклеотидов, работащих по механизму РНК-интреференции. По: (Власов и др., 2014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Регулировать экспрессию генов с помощью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антисмысловых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можно на разных уровнях, начиная с процесса «транскрипции» – считывания генетической информации с ДНК на РНК, который происходит в ядре клетки и включает в себя стадию созревания РНК, в результате чего образуется пул молекул РНК с разными функциями (транспортная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переносящая аминокислоты;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рибосомальная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рРНК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входящая в состав рибосом;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и т. д.), заканчивая процессом «трансляции» – синтезом белка на матричной РНК (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), который происходит в цитоплазме на рибосомах.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Все терапевтические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традиционно принято подразделять на «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ген-направленные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>» – их мишенью является геномная ДНК и на собственно «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» – их мишенью являются РНК. Отдельно выделяют группу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работащих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по механизму РНК-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интреференции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. По: (Власов и др., 2014)</w:t>
      </w:r>
    </w:p>
    <w:p w:rsidR="00293712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Регуляция экспрессии генов под действием «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антисмысловых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возможна на различных уровнях. Так,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комплементарные последовательности матричной РНК, подавляют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 xml:space="preserve">экспрессию генов на стадии трансляции, т. е. синтеза белка. Но терапевтические нуклеиновые кислоты могут вмешиваться и в другие молекулярно-биологические процессы, например, исправлять нарушения в процессе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сплайсинга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при созревании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. При одном из таких нарушений в клетках синтезируется «неправильный»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дистрофин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 – ​белок, являющийся важным структурным компонентом мышечной ткани. Это приводит к возникновению тяжелого заболевания – ​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миодистрофии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Дюшенна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. В ИХБФМ СО РАН разработаны терапевтические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для лечения этого заболевания, и уже подана заявка на соответствующий патент. 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и РНК, подавляющие функции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и вирусных РНК, применяются не только в биологических исследованиях.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Ведутся испытания ряда противовирусных и противовоспалительных препаратов, созданных на основе искусственных аналогов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а некоторые из них уже начинают внедряться в клиническую практику.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Лаборатория биомедицинской химии ИХБФМ СО РАН, работающая в этом направлении, была создана в 2013 г. благодаря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научному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мегагранту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Правительства РФ. Ее организатором стал профессор Йельского университета, Нобелевский лауреат С. Альтман. В лаборатории ведутся исследования физико-химических и биологических свойств новых перспективных искусственных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на основе которых разрабатываются РНК-направленные противобактериальные и противовирусные препараты.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5C0F0F" wp14:editId="30BA92CF">
            <wp:extent cx="3524250" cy="3638550"/>
            <wp:effectExtent l="0" t="0" r="0" b="0"/>
            <wp:docPr id="7" name="Рисунок 7" descr="Комплементарный комплекс фрагмента ДНК-мишени с олигонуклеотидом, содержащим фосфорилгуанидиновые группы, оказался почти таким же устойчивым, как и природная спираль ДНК. По: (Пышный, Стеценко, 2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плементарный комплекс фрагмента ДНК-мишени с олигонуклеотидом, содержащим фосфорилгуанидиновые группы, оказался почти таким же устойчивым, как и природная спираль ДНК. По: (Пышный, Стеценко, 2014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Комплементарный комплекс фрагмента ДНК-мишени с 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олигонуклеотидом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содержащим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фосфорилгуанидиновые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группы, оказался почти таким же устойчивым, как и природная спираль ДНК. По: (Пышный, Стеценко, 2014)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В рамках проекта, руководимого С. Альтманом, было выполнено масштабное систематическое исследование воздействия различных искусственных аналогов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на патогенные микроорганизмы: синегнойную палочку, сальмонеллу, золотистый стафилококк, а также вирус гриппа. Были определены гены-мишени, воздействием на которые можно наиболее эффективно подавить эти патогены; проводится оценка технологических и терапевтических характеристик самых действующих аналогов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в том числе проявляющих антибактериальную и противовирусную активность.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В ИХБФМ СО РАН впервые в мире были синтезированы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фосфорилгуанидиновыепроизводные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. Эти новые соединения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электронейтральны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устойчивы в биологических средах и прочно связываются с РН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и ДНК-мишенями в широком диапазоне условий. Благодаря спектру уникальных свойств они перспективны для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применения в качестве терапевтических агентов, а также могут быть использованы для повышения эффективности средств диагностики, основанных на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биочиповых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технологиях.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Среди коммерческих фирм лидером в создании терапевтических нуклеиновых кислот является американская компания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Ionis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Pharmaceuticals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Inc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. (США). После многолетних клинических исследований были введены в медицинскую практику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препараты: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Kynamro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 – ​снижающий уровень «плохого» холестерина,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Alicaforsen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 – ​для лечения язвенного колита и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Spinraza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 – ​для терапии дистрофии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Дюшенна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. Препараты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Ionis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 против ряда других заболеваний проходят клинические испытания. Лидер в создании терапевтических интерферирующих РНК – ​компания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Alnylam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Pharmaceuticals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 – ​также проводит клинические испытания целой серии препаратов для лечения тяжелых заболеваний (таких как наследственный амилоидоз, тяжелые формы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гиперхолестеролемии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гемофилия), эффективные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методы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терапии которых в настоящее время отсутствуют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Антисмысловое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» воздействие на матричные РНК не ограничивается простым блокированием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сплайсинг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процесса «созревания» РНК) или синтеза белка. Более эффективным является ферментативное разрезание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спровоцированное связыванием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терапевтического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с мишенью. При этом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 – ​индуктор расщепления – ​может в дальнейшем связаться с другой молекулой РНК и повторить свое действие. В ИХБФМ СО РАН исследовали действие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образующих при связывании с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комплексы, которые могут служить субстратами фермента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РНКазы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Р. Этот фермент и сам представляет собой РНК с каталитическими свойствами (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рибозим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).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Чрезвычайно мощным средством подавления активности генов оказались не только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антисмысловые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нуклеотиды, но 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двуцепочечные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РНК, действующие по механизму РНК-интерференции. Суть этого явления в том, что, попадая в клетку, длинные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дцРНК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разрезаются на короткие фрагменты (так называемые малые интерферирующие РНК,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siP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НК</w:t>
      </w:r>
      <w:proofErr w:type="spellEnd"/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), комплементарные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определенному участку матричной РНК. Связываясь с такой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siP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НК</w:t>
      </w:r>
      <w:proofErr w:type="spellEnd"/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запускают действие ферментативного механизма, разрушающего молекулу-мишень.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ED94F" wp14:editId="69035176">
            <wp:extent cx="4950000" cy="2120400"/>
            <wp:effectExtent l="0" t="0" r="3175" b="0"/>
            <wp:docPr id="8" name="Рисунок 8" descr="Фермент РНКаза P обычно занимается удалением нуклеотидов с определенного (5’-) конца молекулы РНК – предшественника транспортной РНК, структура которого напоминает «клеверный лист». Но фермент может делать это с фрагментом любой РНК, который будет напоминать «стебелек листа»: главное, чтобы РНК в этом месте была двуцепочечная, и рядом находился другой (3’-) свободный конец молекулы. Такую структуру можно получить с помощью направляющего олигонуклеотида, что позволит разрезать РНК-мишень в строго определенном месте. По: (Альтман, 2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ермент РНКаза P обычно занимается удалением нуклеотидов с определенного (5’-) конца молекулы РНК – предшественника транспортной РНК, структура которого напоминает «клеверный лист». Но фермент может делать это с фрагментом любой РНК, который будет напоминать «стебелек листа»: главное, чтобы РНК в этом месте была двуцепочечная, и рядом находился другой (3’-) свободный конец молекулы. Такую структуру можно получить с помощью направляющего олигонуклеотида, что позволит разрезать РНК-мишень в строго определенном месте. По: (Альтман, 2014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Фермент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РНКаза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P обычно занимается удалением нуклеотидов с определенного (5’-) конца молекулы РНК – предшественника транспортной РНК, структура которого напоминает «клеверный лист». Но фермент может делать это с фрагментом любой РНК, который будет напоминать «стебелек листа»: главное, чтобы РНК в этом месте была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двуцепочечная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, и рядом находился другой (3’-) свободный конец молекулы. Такую структуру можно получить с помощью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направляющего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олигонуклеотида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что позволит разрезать РНК-мишень в строго определенном месте. По: (Альтман, 2014)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Использование этого механизма открывает новые возможности для создания широкого спектра высокоэффективных нетоксичных препаратов для подавления экспрессии практически любых, в том числе вирусных, генов. В ИХБФМ СО РАН на основе малых интерферирующих РНК сконструированы перспективные противоопухолевые препараты, показавшие хорошие результаты в экспериментах на животных. Одна из интересных находок – ​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двуцепочечные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РНК оригинального строения, стимулирующие в организме производство интерферона, эффективно подавляющие процесс метастазирования опухолей. Хорошее проникновение препарата в клетки обеспечивают носители – ​новые катионные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липосомы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 (липидные пузырьки), разработанные совместно со специалистами Московского государственного университета тонких химических технологий имени М. В. Ломоносова.</w:t>
      </w: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57C" w:rsidRPr="009D1CA0" w:rsidRDefault="00A23656" w:rsidP="009D1CA0">
      <w:pPr>
        <w:pStyle w:val="11"/>
      </w:pPr>
      <w:bookmarkStart w:id="8" w:name="_Toc510078184"/>
      <w:bookmarkStart w:id="9" w:name="_Toc68004977"/>
      <w:r w:rsidRPr="009D1CA0">
        <w:t>3</w:t>
      </w:r>
      <w:r w:rsidR="00293712" w:rsidRPr="009D1CA0">
        <w:t xml:space="preserve">. </w:t>
      </w:r>
      <w:r w:rsidRPr="009D1CA0">
        <w:t>И</w:t>
      </w:r>
      <w:r w:rsidR="00293712" w:rsidRPr="009D1CA0">
        <w:t xml:space="preserve">спользование </w:t>
      </w:r>
      <w:proofErr w:type="spellStart"/>
      <w:r w:rsidR="00293712" w:rsidRPr="009D1CA0">
        <w:t>микробиома</w:t>
      </w:r>
      <w:bookmarkEnd w:id="8"/>
      <w:bookmarkEnd w:id="9"/>
      <w:proofErr w:type="spellEnd"/>
    </w:p>
    <w:p w:rsidR="00A23656" w:rsidRPr="009D1CA0" w:rsidRDefault="00A23656" w:rsidP="009D1CA0">
      <w:pPr>
        <w:pStyle w:val="a4"/>
        <w:spacing w:line="360" w:lineRule="auto"/>
        <w:ind w:firstLine="709"/>
        <w:jc w:val="both"/>
      </w:pP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К настоящему времени хорошо изучены и расшифрованы геномы многих микроорганизмов, поражающих человека. Ведутся исследования и сложных микробиологических сообществ, постоянно связанных с человеком, – ​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микробиомов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Существенный вклад в эту область исследований внесли и отечественные ученые.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 xml:space="preserve">Так, специалисты ГНЦ ВБ «Вектор» (Кольцово, Новосибирская обл.) впервые в мире расшифровали геномы вирусов Марбург и натуральной оспы, а ученые ИХБФМ СО РАН – ​геномы вируса клещевого энцефалита, возбудителей клещевого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боррелиоза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распространенных на территории РФ.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Также были изучены микробные сообщества, ассоциированные с различными видами опасных для человека клещей.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В развитых странах сегодня активно ведутся работы, направленные на создание средств регуляции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организма человека, в первую очередь его пищеварительного тракта. Как оказалось, от состава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кишечника в огромной степени зависит состояние здоровья. Методы воздействия на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микробиом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уже существуют: например, обогащение его новыми терапевтическими бактериями, использование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пробиотиков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благоприятствующих размножению полезных бактерий, а также прием бактериофагов (вирусов бактерий), избирательно убивающих «вредные» микроорганизмы.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В последнее время работы по созданию средств терапии на основе бактериофагов активизировались во всем мире в связи с проблемой распространения лекарственно-устойчивых бактерий. Россия – ​одна из немногих стран, где применение бактериофагов в медицине разрешено. В РФ существует промышленное производство препаратов, разработанных еще в советское время, и чтобы получать более эффективные бактериофаги,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>необходимо их совершенствовать, и эта задача может быть решена методами синтетической биологии.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90AB0" wp14:editId="55FBD9AD">
            <wp:extent cx="6343200" cy="3258000"/>
            <wp:effectExtent l="0" t="0" r="635" b="0"/>
            <wp:docPr id="12" name="Рисунок 12" descr="Бактериофаги могут быть использованы не только напрямую в качестве бактерицидных агентов: их можно применять в качестве носителей лекарственных препаратов, антител либо терапевтических химических соединений. На фото – фаги, несущие на своей поверхности антитела к вирусу осповакцины, атакуют этот вирус. Атомно-силовая микроскопия. Фото Г. Шевелева и Д. Пыш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ктериофаги могут быть использованы не только напрямую в качестве бактерицидных агентов: их можно применять в качестве носителей лекарственных препаратов, антител либо терапевтических химических соединений. На фото – фаги, несущие на своей поверхности антитела к вирусу осповакцины, атакуют этот вирус. Атомно-силовая микроскопия. Фото Г. Шевелева и Д. Пышног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Бактериофаги могут быть использованы не только напрямую в качестве бактерицидных агентов: их можно применять в качестве носителей лекарственных препаратов, антител либо терапевтических химических соединений. На фото – фаги, несущие на своей поверхности антитела к вирусу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осповакцины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атакуют этот вирус. Атомно-силовая микроскопия. Фото Г. Шевелева и Д. Пышного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Решением ее занимаются в ряде научно-исследовательских организаций РФ, в том числе в ИХБФМ СО РАН. В институте охарактеризованы промышленно производимые в РФ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фаговые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препараты, расшифрованы геномы ряда бактериофагов, а также создана их коллекция, в которую вошли и уникальные вирусы, перспективные для применения в медицине. В клинике института отрабатываются механизмы оказания персонализированной помощи больным, страдающим от бактериальных инфекций, вызванных лекарственно-устойчивыми микроорганизмами.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Последние возникают при лечении диабетической стопы, а также в результате пролежней или послеоперационных осложнений.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 xml:space="preserve">Разрабатываются и методы коррекции нарушений состава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Совершенно новые возможности использования вирусов открываются в связи с созданием технологий получения интеллектуальных систем высокоизбирательного действия на определенные клетки. Речь идет об 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онколитических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вирусах, способных поражать только опухолевые клетки. В экспериментальном режиме несколько таких вирусов уже применяются в Китае и США. Работы в этой области ведутся и в России, в них принимают участие специалисты из московских и новосибирских научно-исследовательских организаций: ИМБ РАН, ГНЦ ВБ «Вектор», Новосибирского государственного университета и ИХБФМ СО РАН.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AB696" wp14:editId="169B722F">
            <wp:extent cx="4286250" cy="2752725"/>
            <wp:effectExtent l="0" t="0" r="0" b="9525"/>
            <wp:docPr id="13" name="Рисунок 13" descr="Мобильное приложение Welltory, разработанное с участием ученых и медиков, позволяет на основе вариабельности сердечного ритма и обратной связи с пользователем оценивать текущее самочувствие и получать рекомендации по поддержанию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бильное приложение Welltory, разработанное с участием ученых и медиков, позволяет на основе вариабельности сердечного ритма и обратной связи с пользователем оценивать текущее самочувствие и получать рекомендации по поддержанию здоровь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Мобильное приложение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Welltory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>, разработанное с участием ученых и медиков, позволяет на основе вариабельности сердечного ритма и обратной связи с пользователем оценивать текущее самочувствие и получать рекомендации по поддержанию здоровья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Быстрое развитие синтетической биологии дает основание ожидать в ближайшие годы важных открытий и появления новых биомедицинских технологий, которые избавят человечество от многих проблем и позволят реально управлять здоровьем, а не только лечить наследственные и «благоприобретенные» заболевания.</w:t>
      </w: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lastRenderedPageBreak/>
        <w:t>Фронт исследований в этой области чрезвычайно широк. Уже сейчас доступные гаджеты представляют собой не просто игрушки, но реально полезные приборы, ежедневно обеспечивающие человека информацией, необходимой для контроля и поддержания здоровья. Новые технологии быстрого углубленного обследования дают возможность предсказать или своевременно обнаружить развитие болезни, а персонализированные препараты на основе «умных» информационных биополимеров позволят радикально решить проблемы борьбы с инфекционными и генетическими заболеваниями в самом ближайшем будущем.</w:t>
      </w: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br w:type="page"/>
      </w:r>
    </w:p>
    <w:p w:rsidR="00293712" w:rsidRPr="009D1CA0" w:rsidRDefault="00293712" w:rsidP="009D1CA0">
      <w:pPr>
        <w:pStyle w:val="11"/>
      </w:pPr>
      <w:bookmarkStart w:id="10" w:name="_Toc510078185"/>
      <w:bookmarkStart w:id="11" w:name="_Toc68004978"/>
      <w:r w:rsidRPr="009D1CA0">
        <w:lastRenderedPageBreak/>
        <w:t>Заключение</w:t>
      </w:r>
      <w:bookmarkEnd w:id="10"/>
      <w:bookmarkEnd w:id="11"/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С помощью современных медицинских технологий 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фармпрепаратов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сегодня удается излечивать многие болезни, представлявшие в прошлом огромную медицинскую проблему. Но с развитием практической медицины и ростом продолжительности жизни все более актуальной становится задача здравоохранения в самом прямом смысле этого слова: не просто бороться с болезнями, но поддерживать имеющееся здоровье, чтобы человек мог вести активный образ жизни и оставаться полноценным членом общества до глубокой старости. Современные методы геномного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секвенирования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 широко внедряются в медицину, и в ближайшем будущем все пациенты будут иметь генетические паспорта. Сведения о наследственных особенностях пациента – ​основа прогностической персонализированной медицины. Предупрежденный, как известно, вооружен. Человек, осведомленный о возможных рисках, может организовать свою жизнь таким образом, чтобы не допустить развития заболевания. Это касается и образа жизни, и выбора продуктов питания и терапевтических препаратов. </w:t>
      </w: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При условии постоянного отслеживания набора маркеров, сигнализирующих об отклонениях в работе организма, можно вовремя провести их коррекцию. Уже сейчас существует множество методов мониторинга состояния организма: например, с помощью датчиков, следящих за работой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системы и качеством сна или устройств, анализирующих газообразные продукты в выдыхаемом человеком воздухе. Огромные возможности открываются в связи с развитием малоинвазивных технологий жидкостной биопсии и технологий анализа белков и пептидов, циркулирующих в кровотоке. На ранних стадиях болезни корректировать состояние организма во многих случаях можно «мягкими» методами: меняя характер питания, используя добавочные микроэлементы, витамины и </w:t>
      </w:r>
      <w:proofErr w:type="spellStart"/>
      <w:r w:rsidRPr="009D1CA0">
        <w:rPr>
          <w:rFonts w:ascii="Times New Roman" w:hAnsi="Times New Roman" w:cs="Times New Roman"/>
          <w:sz w:val="28"/>
          <w:szCs w:val="28"/>
        </w:rPr>
        <w:t>пробиотики</w:t>
      </w:r>
      <w:proofErr w:type="spellEnd"/>
      <w:r w:rsidRPr="009D1CA0">
        <w:rPr>
          <w:rFonts w:ascii="Times New Roman" w:hAnsi="Times New Roman" w:cs="Times New Roman"/>
          <w:sz w:val="28"/>
          <w:szCs w:val="28"/>
        </w:rPr>
        <w:t xml:space="preserve">. В последнее время особое внимание уделяется возможностям корректировки отклонений в составе кишечной микрофлоры </w:t>
      </w:r>
      <w:r w:rsidRPr="009D1CA0">
        <w:rPr>
          <w:rFonts w:ascii="Times New Roman" w:hAnsi="Times New Roman" w:cs="Times New Roman"/>
          <w:sz w:val="28"/>
          <w:szCs w:val="28"/>
        </w:rPr>
        <w:lastRenderedPageBreak/>
        <w:t xml:space="preserve">человека, которые ассоциированы с развитием большого числа патологических состояний.  </w:t>
      </w: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 xml:space="preserve">Такую задачу можно решить, обеспечив постоянный эффективный </w:t>
      </w:r>
      <w:proofErr w:type="gramStart"/>
      <w:r w:rsidRPr="009D1CA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D1CA0">
        <w:rPr>
          <w:rFonts w:ascii="Times New Roman" w:hAnsi="Times New Roman" w:cs="Times New Roman"/>
          <w:sz w:val="28"/>
          <w:szCs w:val="28"/>
        </w:rPr>
        <w:t xml:space="preserve"> состоянием организма, который позволил бы избегать действия неблагоприятных факторов и предупреждать развитие заболевания, выявляя патологический процесс на самом раннем этапе, и ликвидировать саму причину возникновения болезни.</w:t>
      </w: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t>В этом смысле основную задачу медицины будущего можно сформулировать как «управление здоровьем». Сделать это вполне реально, если иметь полную информацию о наследственности человека и обеспечить мониторинг ключевых показателей состояния организма.</w:t>
      </w: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CA0">
        <w:rPr>
          <w:rFonts w:ascii="Times New Roman" w:hAnsi="Times New Roman" w:cs="Times New Roman"/>
          <w:sz w:val="28"/>
          <w:szCs w:val="28"/>
        </w:rPr>
        <w:br w:type="page"/>
      </w:r>
    </w:p>
    <w:p w:rsidR="00293712" w:rsidRPr="009D1CA0" w:rsidRDefault="00293712" w:rsidP="009D1CA0">
      <w:pPr>
        <w:pStyle w:val="11"/>
      </w:pPr>
      <w:bookmarkStart w:id="12" w:name="_Toc510078186"/>
      <w:bookmarkStart w:id="13" w:name="_Toc68004979"/>
      <w:r w:rsidRPr="009D1CA0">
        <w:lastRenderedPageBreak/>
        <w:t>Список использованных источников</w:t>
      </w:r>
      <w:bookmarkEnd w:id="12"/>
      <w:bookmarkEnd w:id="13"/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1CA0">
        <w:rPr>
          <w:iCs/>
          <w:sz w:val="28"/>
          <w:szCs w:val="28"/>
        </w:rPr>
        <w:t>Брызгунова</w:t>
      </w:r>
      <w:proofErr w:type="spellEnd"/>
      <w:r w:rsidRPr="009D1CA0">
        <w:rPr>
          <w:iCs/>
          <w:sz w:val="28"/>
          <w:szCs w:val="28"/>
        </w:rPr>
        <w:t xml:space="preserve"> О. Е., Лактионов П. П. Внеклеточные нуклеиновые кислоты мочи: источники, состав, использование в диагностике // </w:t>
      </w:r>
      <w:proofErr w:type="spellStart"/>
      <w:r w:rsidRPr="009D1CA0">
        <w:rPr>
          <w:iCs/>
          <w:sz w:val="28"/>
          <w:szCs w:val="28"/>
        </w:rPr>
        <w:t>Acta</w:t>
      </w:r>
      <w:proofErr w:type="spellEnd"/>
      <w:r w:rsidRPr="009D1CA0">
        <w:rPr>
          <w:iCs/>
          <w:sz w:val="28"/>
          <w:szCs w:val="28"/>
        </w:rPr>
        <w:t xml:space="preserve"> </w:t>
      </w:r>
      <w:proofErr w:type="spellStart"/>
      <w:r w:rsidRPr="009D1CA0">
        <w:rPr>
          <w:iCs/>
          <w:sz w:val="28"/>
          <w:szCs w:val="28"/>
        </w:rPr>
        <w:t>Naturae</w:t>
      </w:r>
      <w:proofErr w:type="spellEnd"/>
      <w:r w:rsidRPr="009D1CA0">
        <w:rPr>
          <w:iCs/>
          <w:sz w:val="28"/>
          <w:szCs w:val="28"/>
        </w:rPr>
        <w:t>. 2015. Т. 7. № 3(26). С. 54—60.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D1CA0">
        <w:rPr>
          <w:iCs/>
          <w:sz w:val="28"/>
          <w:szCs w:val="28"/>
        </w:rPr>
        <w:t xml:space="preserve">Власов В. В., еще две фамилии и др. Комплементарные здоровью. Прошлое, настоящее и будущее </w:t>
      </w:r>
      <w:proofErr w:type="spellStart"/>
      <w:r w:rsidRPr="009D1CA0">
        <w:rPr>
          <w:iCs/>
          <w:sz w:val="28"/>
          <w:szCs w:val="28"/>
        </w:rPr>
        <w:t>антисмысловых</w:t>
      </w:r>
      <w:proofErr w:type="spellEnd"/>
      <w:r w:rsidRPr="009D1CA0">
        <w:rPr>
          <w:iCs/>
          <w:sz w:val="28"/>
          <w:szCs w:val="28"/>
        </w:rPr>
        <w:t xml:space="preserve"> технологий // НАУКА из первых рук. 2014. T. 55. № 1. С. 38—49.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D1CA0">
        <w:rPr>
          <w:iCs/>
          <w:sz w:val="28"/>
          <w:szCs w:val="28"/>
        </w:rPr>
        <w:t>Власов В. В., Воробьев П. Е., Пышный Д. В. и др. Правда о фаготерапии, или памятка врачу и пациенту // НАУКА из первых рук. 2016. Т. 70. № 4. С. 58—65.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D1CA0">
        <w:rPr>
          <w:iCs/>
          <w:sz w:val="28"/>
          <w:szCs w:val="28"/>
        </w:rPr>
        <w:t xml:space="preserve">Власов В. В., </w:t>
      </w:r>
      <w:proofErr w:type="spellStart"/>
      <w:r w:rsidRPr="009D1CA0">
        <w:rPr>
          <w:iCs/>
          <w:sz w:val="28"/>
          <w:szCs w:val="28"/>
        </w:rPr>
        <w:t>Закиян</w:t>
      </w:r>
      <w:proofErr w:type="spellEnd"/>
      <w:r w:rsidRPr="009D1CA0">
        <w:rPr>
          <w:iCs/>
          <w:sz w:val="28"/>
          <w:szCs w:val="28"/>
        </w:rPr>
        <w:t xml:space="preserve"> С. М., Медведев С. П. «Редакторы геномов». От «цинковых пальцев» до CRISPR // НАУКА из первых рук. 2014. Т. 56. № 2. С. 44—53.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D1CA0">
        <w:rPr>
          <w:iCs/>
          <w:sz w:val="28"/>
          <w:szCs w:val="28"/>
        </w:rPr>
        <w:t xml:space="preserve">Лифшиц Г. И., Слепухина А. А., </w:t>
      </w:r>
      <w:proofErr w:type="spellStart"/>
      <w:r w:rsidRPr="009D1CA0">
        <w:rPr>
          <w:iCs/>
          <w:sz w:val="28"/>
          <w:szCs w:val="28"/>
        </w:rPr>
        <w:t>Субботовская</w:t>
      </w:r>
      <w:proofErr w:type="spellEnd"/>
      <w:r w:rsidRPr="009D1CA0">
        <w:rPr>
          <w:iCs/>
          <w:sz w:val="28"/>
          <w:szCs w:val="28"/>
        </w:rPr>
        <w:t xml:space="preserve"> А. И. и др. Измерение параметров гемостаза: приборная база и перспективы развития // Медицинская техника. 2016. Т. 298. № 4. С. 48—52.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en-US"/>
        </w:rPr>
      </w:pPr>
      <w:r w:rsidRPr="009D1CA0">
        <w:rPr>
          <w:iCs/>
          <w:sz w:val="28"/>
          <w:szCs w:val="28"/>
        </w:rPr>
        <w:t>Рихтер В. А. Женское молоко – источник потенциального лекарства от рака // НАУКА из первых рук. 2013. Т</w:t>
      </w:r>
      <w:r w:rsidRPr="009D1CA0">
        <w:rPr>
          <w:iCs/>
          <w:sz w:val="28"/>
          <w:szCs w:val="28"/>
          <w:lang w:val="en-US"/>
        </w:rPr>
        <w:t xml:space="preserve">. 52. № 4. </w:t>
      </w:r>
      <w:r w:rsidRPr="009D1CA0">
        <w:rPr>
          <w:iCs/>
          <w:sz w:val="28"/>
          <w:szCs w:val="28"/>
        </w:rPr>
        <w:t>С</w:t>
      </w:r>
      <w:r w:rsidRPr="009D1CA0">
        <w:rPr>
          <w:iCs/>
          <w:sz w:val="28"/>
          <w:szCs w:val="28"/>
          <w:lang w:val="en-US"/>
        </w:rPr>
        <w:t>. 26—31.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9D1CA0">
        <w:rPr>
          <w:iCs/>
          <w:sz w:val="28"/>
          <w:szCs w:val="28"/>
          <w:lang w:val="en-US"/>
        </w:rPr>
        <w:t>Kupryushkin</w:t>
      </w:r>
      <w:proofErr w:type="spellEnd"/>
      <w:r w:rsidRPr="009D1CA0">
        <w:rPr>
          <w:iCs/>
          <w:sz w:val="28"/>
          <w:szCs w:val="28"/>
          <w:lang w:val="en-US"/>
        </w:rPr>
        <w:t xml:space="preserve"> M. S., </w:t>
      </w:r>
      <w:proofErr w:type="spellStart"/>
      <w:r w:rsidRPr="009D1CA0">
        <w:rPr>
          <w:iCs/>
          <w:sz w:val="28"/>
          <w:szCs w:val="28"/>
          <w:lang w:val="en-US"/>
        </w:rPr>
        <w:t>Pyshnyi</w:t>
      </w:r>
      <w:proofErr w:type="spellEnd"/>
      <w:r w:rsidRPr="009D1CA0">
        <w:rPr>
          <w:iCs/>
          <w:sz w:val="28"/>
          <w:szCs w:val="28"/>
          <w:lang w:val="en-US"/>
        </w:rPr>
        <w:t xml:space="preserve"> D. V., </w:t>
      </w:r>
      <w:proofErr w:type="spellStart"/>
      <w:r w:rsidRPr="009D1CA0">
        <w:rPr>
          <w:iCs/>
          <w:sz w:val="28"/>
          <w:szCs w:val="28"/>
          <w:lang w:val="en-US"/>
        </w:rPr>
        <w:t>Stetsenko</w:t>
      </w:r>
      <w:proofErr w:type="spellEnd"/>
      <w:r w:rsidRPr="009D1CA0">
        <w:rPr>
          <w:iCs/>
          <w:sz w:val="28"/>
          <w:szCs w:val="28"/>
          <w:lang w:val="en-US"/>
        </w:rPr>
        <w:t xml:space="preserve"> D. A. </w:t>
      </w:r>
      <w:proofErr w:type="spellStart"/>
      <w:r w:rsidRPr="009D1CA0">
        <w:rPr>
          <w:iCs/>
          <w:sz w:val="28"/>
          <w:szCs w:val="28"/>
          <w:lang w:val="en-US"/>
        </w:rPr>
        <w:t>Phosphoryl</w:t>
      </w:r>
      <w:proofErr w:type="spellEnd"/>
      <w:r w:rsidRPr="009D1CA0">
        <w:rPr>
          <w:iCs/>
          <w:sz w:val="28"/>
          <w:szCs w:val="28"/>
          <w:lang w:val="en-US"/>
        </w:rPr>
        <w:t xml:space="preserve"> </w:t>
      </w:r>
      <w:proofErr w:type="spellStart"/>
      <w:r w:rsidRPr="009D1CA0">
        <w:rPr>
          <w:iCs/>
          <w:sz w:val="28"/>
          <w:szCs w:val="28"/>
          <w:lang w:val="en-US"/>
        </w:rPr>
        <w:t>guanidines</w:t>
      </w:r>
      <w:proofErr w:type="spellEnd"/>
      <w:r w:rsidRPr="009D1CA0">
        <w:rPr>
          <w:iCs/>
          <w:sz w:val="28"/>
          <w:szCs w:val="28"/>
          <w:lang w:val="en-US"/>
        </w:rPr>
        <w:t xml:space="preserve">: a new type of nucleic Acid analogues // </w:t>
      </w:r>
      <w:proofErr w:type="spellStart"/>
      <w:r w:rsidRPr="009D1CA0">
        <w:rPr>
          <w:iCs/>
          <w:sz w:val="28"/>
          <w:szCs w:val="28"/>
          <w:lang w:val="en-US"/>
        </w:rPr>
        <w:t>Acta</w:t>
      </w:r>
      <w:proofErr w:type="spellEnd"/>
      <w:r w:rsidRPr="009D1CA0">
        <w:rPr>
          <w:iCs/>
          <w:sz w:val="28"/>
          <w:szCs w:val="28"/>
          <w:lang w:val="en-US"/>
        </w:rPr>
        <w:t xml:space="preserve"> </w:t>
      </w:r>
      <w:proofErr w:type="spellStart"/>
      <w:r w:rsidRPr="009D1CA0">
        <w:rPr>
          <w:iCs/>
          <w:sz w:val="28"/>
          <w:szCs w:val="28"/>
          <w:lang w:val="en-US"/>
        </w:rPr>
        <w:t>Naturae</w:t>
      </w:r>
      <w:proofErr w:type="spellEnd"/>
      <w:r w:rsidRPr="009D1CA0">
        <w:rPr>
          <w:iCs/>
          <w:sz w:val="28"/>
          <w:szCs w:val="28"/>
          <w:lang w:val="en-US"/>
        </w:rPr>
        <w:t>. 2014. V. 6. № 4(23). P. 116—118.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9D1CA0">
        <w:rPr>
          <w:iCs/>
          <w:sz w:val="28"/>
          <w:szCs w:val="28"/>
          <w:lang w:val="en-US"/>
        </w:rPr>
        <w:t>Nasedkina</w:t>
      </w:r>
      <w:proofErr w:type="spellEnd"/>
      <w:r w:rsidRPr="009D1CA0">
        <w:rPr>
          <w:iCs/>
          <w:sz w:val="28"/>
          <w:szCs w:val="28"/>
          <w:lang w:val="en-US"/>
        </w:rPr>
        <w:t xml:space="preserve"> T. V., </w:t>
      </w:r>
      <w:proofErr w:type="spellStart"/>
      <w:r w:rsidRPr="009D1CA0">
        <w:rPr>
          <w:iCs/>
          <w:sz w:val="28"/>
          <w:szCs w:val="28"/>
          <w:lang w:val="en-US"/>
        </w:rPr>
        <w:t>Guseva</w:t>
      </w:r>
      <w:proofErr w:type="spellEnd"/>
      <w:r w:rsidRPr="009D1CA0">
        <w:rPr>
          <w:iCs/>
          <w:sz w:val="28"/>
          <w:szCs w:val="28"/>
          <w:lang w:val="en-US"/>
        </w:rPr>
        <w:t xml:space="preserve"> N. A., </w:t>
      </w:r>
      <w:proofErr w:type="spellStart"/>
      <w:r w:rsidRPr="009D1CA0">
        <w:rPr>
          <w:iCs/>
          <w:sz w:val="28"/>
          <w:szCs w:val="28"/>
          <w:lang w:val="en-US"/>
        </w:rPr>
        <w:t>Gra</w:t>
      </w:r>
      <w:proofErr w:type="spellEnd"/>
      <w:r w:rsidRPr="009D1CA0">
        <w:rPr>
          <w:iCs/>
          <w:sz w:val="28"/>
          <w:szCs w:val="28"/>
          <w:lang w:val="en-US"/>
        </w:rPr>
        <w:t xml:space="preserve"> O. A. et al. Diagnostic microarrays in hematologic oncology: applications of high- and low-density arrays // </w:t>
      </w:r>
      <w:proofErr w:type="spellStart"/>
      <w:r w:rsidRPr="009D1CA0">
        <w:rPr>
          <w:iCs/>
          <w:sz w:val="28"/>
          <w:szCs w:val="28"/>
          <w:lang w:val="en-US"/>
        </w:rPr>
        <w:t>Mol</w:t>
      </w:r>
      <w:proofErr w:type="spellEnd"/>
      <w:r w:rsidRPr="009D1CA0">
        <w:rPr>
          <w:iCs/>
          <w:sz w:val="28"/>
          <w:szCs w:val="28"/>
          <w:lang w:val="en-US"/>
        </w:rPr>
        <w:t xml:space="preserve"> </w:t>
      </w:r>
      <w:proofErr w:type="spellStart"/>
      <w:r w:rsidRPr="009D1CA0">
        <w:rPr>
          <w:iCs/>
          <w:sz w:val="28"/>
          <w:szCs w:val="28"/>
          <w:lang w:val="en-US"/>
        </w:rPr>
        <w:t>Diagn</w:t>
      </w:r>
      <w:proofErr w:type="spellEnd"/>
      <w:r w:rsidRPr="009D1CA0">
        <w:rPr>
          <w:iCs/>
          <w:sz w:val="28"/>
          <w:szCs w:val="28"/>
          <w:lang w:val="en-US"/>
        </w:rPr>
        <w:t xml:space="preserve"> </w:t>
      </w:r>
      <w:proofErr w:type="spellStart"/>
      <w:r w:rsidRPr="009D1CA0">
        <w:rPr>
          <w:iCs/>
          <w:sz w:val="28"/>
          <w:szCs w:val="28"/>
          <w:lang w:val="en-US"/>
        </w:rPr>
        <w:t>Ther</w:t>
      </w:r>
      <w:proofErr w:type="spellEnd"/>
      <w:r w:rsidRPr="009D1CA0">
        <w:rPr>
          <w:iCs/>
          <w:sz w:val="28"/>
          <w:szCs w:val="28"/>
          <w:lang w:val="en-US"/>
        </w:rPr>
        <w:t>. 2009. V. 13. N. 2. P. 91—102.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9D1CA0">
        <w:rPr>
          <w:iCs/>
          <w:sz w:val="28"/>
          <w:szCs w:val="28"/>
          <w:lang w:val="en-US"/>
        </w:rPr>
        <w:t>Ponomaryova</w:t>
      </w:r>
      <w:proofErr w:type="spellEnd"/>
      <w:r w:rsidRPr="009D1CA0">
        <w:rPr>
          <w:iCs/>
          <w:sz w:val="28"/>
          <w:szCs w:val="28"/>
          <w:lang w:val="en-US"/>
        </w:rPr>
        <w:t xml:space="preserve"> A. A., </w:t>
      </w:r>
      <w:proofErr w:type="spellStart"/>
      <w:r w:rsidRPr="009D1CA0">
        <w:rPr>
          <w:iCs/>
          <w:sz w:val="28"/>
          <w:szCs w:val="28"/>
          <w:lang w:val="en-US"/>
        </w:rPr>
        <w:t>Morozkin</w:t>
      </w:r>
      <w:proofErr w:type="spellEnd"/>
      <w:r w:rsidRPr="009D1CA0">
        <w:rPr>
          <w:iCs/>
          <w:sz w:val="28"/>
          <w:szCs w:val="28"/>
          <w:lang w:val="en-US"/>
        </w:rPr>
        <w:t xml:space="preserve"> E. S., </w:t>
      </w:r>
      <w:proofErr w:type="spellStart"/>
      <w:r w:rsidRPr="009D1CA0">
        <w:rPr>
          <w:iCs/>
          <w:sz w:val="28"/>
          <w:szCs w:val="28"/>
          <w:lang w:val="en-US"/>
        </w:rPr>
        <w:t>Rykova</w:t>
      </w:r>
      <w:proofErr w:type="spellEnd"/>
      <w:r w:rsidRPr="009D1CA0">
        <w:rPr>
          <w:iCs/>
          <w:sz w:val="28"/>
          <w:szCs w:val="28"/>
          <w:lang w:val="en-US"/>
        </w:rPr>
        <w:t xml:space="preserve"> E. Y. et al. Dynamic changes in circulating </w:t>
      </w:r>
      <w:proofErr w:type="spellStart"/>
      <w:r w:rsidRPr="009D1CA0">
        <w:rPr>
          <w:iCs/>
          <w:sz w:val="28"/>
          <w:szCs w:val="28"/>
          <w:lang w:val="en-US"/>
        </w:rPr>
        <w:t>miRNA</w:t>
      </w:r>
      <w:proofErr w:type="spellEnd"/>
      <w:r w:rsidRPr="009D1CA0">
        <w:rPr>
          <w:iCs/>
          <w:sz w:val="28"/>
          <w:szCs w:val="28"/>
          <w:lang w:val="en-US"/>
        </w:rPr>
        <w:t xml:space="preserve"> levels in response to antitumor therapy of lung cancer // Experimental Lung Research. 2016. V. 42 N. 2. P. 95—102.</w:t>
      </w:r>
    </w:p>
    <w:p w:rsidR="00293712" w:rsidRPr="009D1CA0" w:rsidRDefault="00293712" w:rsidP="009D1CA0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1CA0">
        <w:rPr>
          <w:iCs/>
          <w:sz w:val="28"/>
          <w:szCs w:val="28"/>
          <w:lang w:val="en-US"/>
        </w:rPr>
        <w:t>Vorobyeva</w:t>
      </w:r>
      <w:proofErr w:type="spellEnd"/>
      <w:r w:rsidRPr="009D1CA0">
        <w:rPr>
          <w:iCs/>
          <w:sz w:val="28"/>
          <w:szCs w:val="28"/>
          <w:lang w:val="en-US"/>
        </w:rPr>
        <w:t xml:space="preserve"> M., </w:t>
      </w:r>
      <w:proofErr w:type="spellStart"/>
      <w:r w:rsidRPr="009D1CA0">
        <w:rPr>
          <w:iCs/>
          <w:sz w:val="28"/>
          <w:szCs w:val="28"/>
          <w:lang w:val="en-US"/>
        </w:rPr>
        <w:t>Vorobjev</w:t>
      </w:r>
      <w:proofErr w:type="spellEnd"/>
      <w:r w:rsidRPr="009D1CA0">
        <w:rPr>
          <w:iCs/>
          <w:sz w:val="28"/>
          <w:szCs w:val="28"/>
          <w:lang w:val="en-US"/>
        </w:rPr>
        <w:t xml:space="preserve"> P. and </w:t>
      </w:r>
      <w:proofErr w:type="spellStart"/>
      <w:r w:rsidRPr="009D1CA0">
        <w:rPr>
          <w:iCs/>
          <w:sz w:val="28"/>
          <w:szCs w:val="28"/>
          <w:lang w:val="en-US"/>
        </w:rPr>
        <w:t>Venyaminova</w:t>
      </w:r>
      <w:proofErr w:type="spellEnd"/>
      <w:r w:rsidRPr="009D1CA0">
        <w:rPr>
          <w:iCs/>
          <w:sz w:val="28"/>
          <w:szCs w:val="28"/>
          <w:lang w:val="en-US"/>
        </w:rPr>
        <w:t xml:space="preserve"> A. Multivalent </w:t>
      </w:r>
      <w:proofErr w:type="spellStart"/>
      <w:r w:rsidRPr="009D1CA0">
        <w:rPr>
          <w:iCs/>
          <w:sz w:val="28"/>
          <w:szCs w:val="28"/>
          <w:lang w:val="en-US"/>
        </w:rPr>
        <w:t>Aptamers</w:t>
      </w:r>
      <w:proofErr w:type="spellEnd"/>
      <w:r w:rsidRPr="009D1CA0">
        <w:rPr>
          <w:iCs/>
          <w:sz w:val="28"/>
          <w:szCs w:val="28"/>
          <w:lang w:val="en-US"/>
        </w:rPr>
        <w:t xml:space="preserve">: Versatile Tools for Diagnostic and Therapeutic Applications // Molecules. </w:t>
      </w:r>
      <w:r w:rsidRPr="009D1CA0">
        <w:rPr>
          <w:iCs/>
          <w:sz w:val="28"/>
          <w:szCs w:val="28"/>
        </w:rPr>
        <w:t>2016. V. 21 N. 12. P. 1612—1633.</w:t>
      </w: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3712" w:rsidRPr="009D1CA0" w:rsidRDefault="00293712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57C" w:rsidRPr="009D1CA0" w:rsidRDefault="009A557C" w:rsidP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CA0" w:rsidRPr="009D1CA0" w:rsidRDefault="009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D1CA0" w:rsidRPr="009D1CA0" w:rsidSect="00A23656">
      <w:footerReference w:type="default" r:id="rId1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6B5" w:rsidRDefault="007146B5" w:rsidP="00A23656">
      <w:pPr>
        <w:spacing w:after="0" w:line="240" w:lineRule="auto"/>
      </w:pPr>
      <w:r>
        <w:separator/>
      </w:r>
    </w:p>
  </w:endnote>
  <w:endnote w:type="continuationSeparator" w:id="0">
    <w:p w:rsidR="007146B5" w:rsidRDefault="007146B5" w:rsidP="00A2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7444"/>
      <w:docPartObj>
        <w:docPartGallery w:val="Page Numbers (Bottom of Page)"/>
        <w:docPartUnique/>
      </w:docPartObj>
    </w:sdtPr>
    <w:sdtEndPr/>
    <w:sdtContent>
      <w:p w:rsidR="00A23656" w:rsidRDefault="00A2365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2249">
          <w:rPr>
            <w:noProof/>
          </w:rPr>
          <w:t>2</w:t>
        </w:r>
        <w:r>
          <w:fldChar w:fldCharType="end"/>
        </w:r>
      </w:p>
    </w:sdtContent>
  </w:sdt>
  <w:p w:rsidR="00A23656" w:rsidRDefault="00A2365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6B5" w:rsidRDefault="007146B5" w:rsidP="00A23656">
      <w:pPr>
        <w:spacing w:after="0" w:line="240" w:lineRule="auto"/>
      </w:pPr>
      <w:r>
        <w:separator/>
      </w:r>
    </w:p>
  </w:footnote>
  <w:footnote w:type="continuationSeparator" w:id="0">
    <w:p w:rsidR="007146B5" w:rsidRDefault="007146B5" w:rsidP="00A23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069B1"/>
    <w:multiLevelType w:val="hybridMultilevel"/>
    <w:tmpl w:val="0FC66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57C"/>
    <w:rsid w:val="001A2249"/>
    <w:rsid w:val="00293712"/>
    <w:rsid w:val="00441AFB"/>
    <w:rsid w:val="007146B5"/>
    <w:rsid w:val="009A557C"/>
    <w:rsid w:val="009D1CA0"/>
    <w:rsid w:val="00A23656"/>
    <w:rsid w:val="00D5542E"/>
    <w:rsid w:val="00E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6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5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36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557C"/>
    <w:rPr>
      <w:color w:val="0000FF" w:themeColor="hyperlink"/>
      <w:u w:val="single"/>
    </w:rPr>
  </w:style>
  <w:style w:type="paragraph" w:customStyle="1" w:styleId="a4">
    <w:name w:val="_Глава"/>
    <w:basedOn w:val="a"/>
    <w:link w:val="a5"/>
    <w:qFormat/>
    <w:rsid w:val="009A557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_Глава Знак"/>
    <w:basedOn w:val="a0"/>
    <w:link w:val="a4"/>
    <w:rsid w:val="009A557C"/>
    <w:rPr>
      <w:rFonts w:ascii="Times New Roman" w:hAnsi="Times New Roman" w:cs="Times New Roman"/>
      <w:b/>
      <w:sz w:val="28"/>
      <w:szCs w:val="28"/>
    </w:rPr>
  </w:style>
  <w:style w:type="character" w:customStyle="1" w:styleId="a7">
    <w:name w:val="Текст выноски Знак"/>
    <w:basedOn w:val="a0"/>
    <w:link w:val="a6"/>
    <w:uiPriority w:val="99"/>
    <w:semiHidden/>
    <w:rsid w:val="009A55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A5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93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36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9D1CA0"/>
    <w:pPr>
      <w:tabs>
        <w:tab w:val="right" w:leader="dot" w:pos="9345"/>
      </w:tabs>
      <w:spacing w:after="0" w:line="360" w:lineRule="auto"/>
      <w:ind w:firstLine="709"/>
      <w:jc w:val="both"/>
      <w:outlineLvl w:val="0"/>
    </w:pPr>
    <w:rPr>
      <w:rFonts w:ascii="Times New Roman" w:hAnsi="Times New Roman" w:cs="Times New Roman"/>
      <w:b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A23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3656"/>
  </w:style>
  <w:style w:type="paragraph" w:styleId="ab">
    <w:name w:val="footer"/>
    <w:basedOn w:val="a"/>
    <w:link w:val="ac"/>
    <w:uiPriority w:val="99"/>
    <w:unhideWhenUsed/>
    <w:rsid w:val="00A23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3656"/>
  </w:style>
  <w:style w:type="paragraph" w:styleId="ad">
    <w:name w:val="TOC Heading"/>
    <w:basedOn w:val="1"/>
    <w:next w:val="a"/>
    <w:uiPriority w:val="39"/>
    <w:semiHidden/>
    <w:unhideWhenUsed/>
    <w:qFormat/>
    <w:rsid w:val="009D1CA0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6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5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36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557C"/>
    <w:rPr>
      <w:color w:val="0000FF" w:themeColor="hyperlink"/>
      <w:u w:val="single"/>
    </w:rPr>
  </w:style>
  <w:style w:type="paragraph" w:customStyle="1" w:styleId="a4">
    <w:name w:val="_Глава"/>
    <w:basedOn w:val="a"/>
    <w:link w:val="a5"/>
    <w:qFormat/>
    <w:rsid w:val="009A557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_Глава Знак"/>
    <w:basedOn w:val="a0"/>
    <w:link w:val="a4"/>
    <w:rsid w:val="009A557C"/>
    <w:rPr>
      <w:rFonts w:ascii="Times New Roman" w:hAnsi="Times New Roman" w:cs="Times New Roman"/>
      <w:b/>
      <w:sz w:val="28"/>
      <w:szCs w:val="28"/>
    </w:rPr>
  </w:style>
  <w:style w:type="character" w:customStyle="1" w:styleId="a7">
    <w:name w:val="Текст выноски Знак"/>
    <w:basedOn w:val="a0"/>
    <w:link w:val="a6"/>
    <w:uiPriority w:val="99"/>
    <w:semiHidden/>
    <w:rsid w:val="009A55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A5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93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36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9D1CA0"/>
    <w:pPr>
      <w:tabs>
        <w:tab w:val="right" w:leader="dot" w:pos="9345"/>
      </w:tabs>
      <w:spacing w:after="0" w:line="360" w:lineRule="auto"/>
      <w:ind w:firstLine="709"/>
      <w:jc w:val="both"/>
      <w:outlineLvl w:val="0"/>
    </w:pPr>
    <w:rPr>
      <w:rFonts w:ascii="Times New Roman" w:hAnsi="Times New Roman" w:cs="Times New Roman"/>
      <w:b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A23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3656"/>
  </w:style>
  <w:style w:type="paragraph" w:styleId="ab">
    <w:name w:val="footer"/>
    <w:basedOn w:val="a"/>
    <w:link w:val="ac"/>
    <w:uiPriority w:val="99"/>
    <w:unhideWhenUsed/>
    <w:rsid w:val="00A23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3656"/>
  </w:style>
  <w:style w:type="paragraph" w:styleId="ad">
    <w:name w:val="TOC Heading"/>
    <w:basedOn w:val="1"/>
    <w:next w:val="a"/>
    <w:uiPriority w:val="39"/>
    <w:semiHidden/>
    <w:unhideWhenUsed/>
    <w:qFormat/>
    <w:rsid w:val="009D1CA0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CA8EF-C6FA-430A-91E5-6DD163426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4272</Words>
  <Characters>24356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Юлия</dc:creator>
  <cp:lastModifiedBy>ПК</cp:lastModifiedBy>
  <cp:revision>2</cp:revision>
  <dcterms:created xsi:type="dcterms:W3CDTF">2021-03-30T11:04:00Z</dcterms:created>
  <dcterms:modified xsi:type="dcterms:W3CDTF">2021-03-30T11:04:00Z</dcterms:modified>
</cp:coreProperties>
</file>